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"/>
        <w:jc w:val="center"/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pPr>
      <w:r/>
      <w:bookmarkStart w:id="0" w:name="_Hlk124511293"/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NIWAS HOUSING FINANCE LIMITED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r>
    </w:p>
    <w:p>
      <w:pPr>
        <w:pBdr/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(Formerly, Niwas Housing Finance Private Limited)</w:t>
      </w: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pP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Chakala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, Andheri (East), Mumbai – 400093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10" w:tooltip="mailto:connect@niwashfc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connect@niwashfc.com</w:t>
        </w:r>
      </w:hyperlink>
      <w:r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U65990MH2016PLC271587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Contact No.: -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Emmanuel Sam – 9894856055</w:t>
      </w:r>
      <w:bookmarkEnd w:id="1"/>
      <w:r/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[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APPENDIX-IV-A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[See proviso to rule 8(6)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</w:r>
    </w:p>
    <w:p>
      <w:pPr>
        <w:pBdr/>
        <w:spacing w:after="0" w:line="0" w:lineRule="atLeast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Sale notice for sale of immovable properties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E-Auction Sale Notice for Sale of Immovable Assets under the Securitization and Reconstruction of Financial Assets and Enforcement of Security Interest Act, 2002 read with proviso to Rule 8 (6) of the Security Interest (Enforcement) Rules, 2002.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Authorized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hAnsi="Bookman Old Style" w:eastAsia="Times New Roman" w:cs="Times New Roman"/>
          <w:b/>
          <w:bCs/>
          <w:sz w:val="18"/>
          <w:szCs w:val="18"/>
          <w:shd w:val="clear" w:color="auto" w:fill="ffffff"/>
          <w:lang w:eastAsia="en-IN"/>
        </w:rPr>
        <w:t xml:space="preserve">NHFL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under the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Securitisation and Reconstruction of Financial Assets and Enforcement of Security Interest Act, 2002 for the recovery of amount due from borrower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(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), offers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online on the Web Portal of our Sales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pvt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/>
        <w:ind/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borrower’s attention is invited to provisions of sub-section (8) of section 13 of the Act, in respect of time available, to redeem the secured assets.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said property is</w:t>
      </w:r>
      <w:r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>
        <w:rPr>
          <w:rFonts w:ascii="Bookman Old Style" w:hAnsi="Bookman Old Style" w:cs="Times New Roman"/>
          <w:sz w:val="20"/>
          <w:szCs w:val="20"/>
        </w:rPr>
        <w:t xml:space="preserve">on “As Is Where Is Basis”, “As Is What Is Basis”, “Whatever is There Is Basis”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and </w:t>
      </w:r>
      <w:r>
        <w:rPr>
          <w:rFonts w:ascii="Bookman Old Style" w:hAnsi="Bookman Old Style" w:cs="Times New Roman"/>
          <w:sz w:val="20"/>
          <w:szCs w:val="20"/>
          <w:lang w:val="en-GB"/>
        </w:rPr>
        <w:t xml:space="preserve">“</w:t>
      </w:r>
      <w:r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>
        <w:rPr>
          <w:rFonts w:ascii="Bookman Old Style" w:hAnsi="Bookman Old Style" w:cs="Times New Roman"/>
          <w:sz w:val="20"/>
          <w:szCs w:val="20"/>
        </w:rPr>
        <w:t xml:space="preserve">particular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s</w:t>
      </w:r>
      <w:r>
        <w:rPr>
          <w:rFonts w:ascii="Bookman Old Style" w:hAnsi="Bookman Old Style" w:cs="Times New Roman"/>
          <w:sz w:val="20"/>
          <w:szCs w:val="20"/>
        </w:rPr>
        <w:t xml:space="preserve"> of which are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hereunder</w:t>
      </w:r>
      <w:r>
        <w:rPr>
          <w:rFonts w:ascii="Bookman Old Style" w:hAnsi="Bookman Old Style" w:cs="Times New Roman"/>
          <w:sz w:val="20"/>
          <w:szCs w:val="20"/>
        </w:rPr>
        <w:t xml:space="preserve">: -</w:t>
      </w:r>
      <w:r>
        <w:rPr>
          <w:rFonts w:ascii="Bookman Old Style" w:hAnsi="Bookman Old Style" w:cs="Times New Roman"/>
          <w:sz w:val="20"/>
          <w:szCs w:val="20"/>
          <w:lang w:val="en-US"/>
        </w:rPr>
      </w:r>
    </w:p>
    <w:tbl>
      <w:tblPr>
        <w:tblStyle w:val="674"/>
        <w:jc w:val="center"/>
        <w:tblInd w:w="0" w:type="dxa"/>
        <w:tblW w:w="8908" w:type="dxa"/>
        <w:tblCellMar>
          <w:top w:w="19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>
        <w:trPr>
          <w:jc w:val="center"/>
          <w:trHeight w:val="87"/>
        </w:trPr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restart"/>
            <w:textDirection w:val="lrTb"/>
            <w:noWrap w:val="false"/>
          </w:tcPr>
          <w:p>
            <w:pPr>
              <w:pBdr/>
              <w:spacing/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/>
            <w:bookmarkStart w:id="8" w:name="_Hlk112067927"/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Borrower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(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s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) Details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 &amp; Amount of 13(2) Demand Notice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Reserve Price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 w:right="7" w:hanging="2" w:left="8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Date &amp; Time of e-Auction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</w:tr>
      <w:tr>
        <w:trPr>
          <w:jc w:val="center"/>
          <w:trHeight w:val="75"/>
        </w:trPr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EMD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582"/>
        </w:trPr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Bid Increase Amount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rFonts w:ascii="Cambria" w:hAnsi="Cambria"/>
                <w:b/>
                <w:bCs/>
              </w:rPr>
              <w:t xml:space="preserve">LNCOI0HL-10230036755</w:t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COIMBATORE- SINGANALLUR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MARUTHASALAM .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SHARMILA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Cs/>
              </w:rPr>
              <w:t xml:space="preserve">RS. 4,06,265/- (RUPEES FOUR LAKH SIX THOUSAND TWO HUNDRED SIXTYFIVE ONLY)</w:t>
            </w:r>
            <w:r>
              <w:rPr>
                <w:bCs/>
              </w:rPr>
              <w:t xml:space="preserve"> AS ON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Aug</w:t>
            </w:r>
            <w:r>
              <w:rPr>
                <w:bCs/>
              </w:rPr>
              <w:t xml:space="preserve">-202</w:t>
            </w:r>
            <w:r>
              <w:rPr>
                <w:bCs/>
              </w:rPr>
              <w:t xml:space="preserve">5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5,30,000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3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THAT PIECE AND PARCEL OF THE PROPERTY BEARING NEW S.F.NO.942, OLD S.F.NO.224/1, BEARING PLOT NO.8 WITH </w:t>
            </w:r>
            <w:r>
              <w:rPr>
                <w:rFonts w:ascii="Cambria" w:hAnsi="Cambria"/>
                <w:bCs/>
              </w:rPr>
              <w:t xml:space="preserve">AN EXTENT OF 80 SQ.METER, (861.11 SQ.FT) TOGETHER WITH PROPOSED BUILDING CONSTRUCTION SITUATED TIRUPPUR REGISTRATION DISTRICT, PALLADAM SUB-REGISTRATION DISTRICT, SULUR TALUK, VARAPPATTI VILLAGE THE FOLLOWING BOUNDARIES ARE EAST- NORTH-SOUTH PASSAGE, WEST-</w:t>
            </w:r>
            <w:r>
              <w:rPr>
                <w:rFonts w:ascii="Cambria" w:hAnsi="Cambria"/>
                <w:bCs/>
              </w:rPr>
              <w:tab/>
              <w:t xml:space="preserve">PLOT NO.4, NORTH- </w:t>
            </w:r>
            <w:r>
              <w:rPr>
                <w:rFonts w:ascii="Cambria" w:hAnsi="Cambria"/>
                <w:bCs/>
              </w:rPr>
              <w:tab/>
              <w:t xml:space="preserve">PLOT NO.7, SOUTH- PLO</w:t>
            </w:r>
            <w:r>
              <w:rPr>
                <w:rFonts w:ascii="Cambria" w:hAnsi="Cambria"/>
                <w:bCs/>
              </w:rPr>
              <w:t xml:space="preserve">T NO.9 MEASUREMENTS NORTH-SOUTH ON THE BOTH SIDE..8.0 METER, EAST-WEST ON THE BOTH..10.0 METER DOOR NO.3/284-B, TAX ASSESSMENT NO.2622 ADMEASURING 80 SQ.METER, (861.11 SQ.FT) OF LAND WITH BUILDING RIGHT TO USE PASSAGE CART TRACK AND ALL OTHER APPURTENANCES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LNCOI0HL-12230038290</w:t>
            </w:r>
            <w:r>
              <w:rPr>
                <w:rFonts w:ascii="Cambria" w:hAnsi="Cambria"/>
                <w:b/>
                <w:bCs/>
              </w:rPr>
              <w:t xml:space="preserve">, </w:t>
            </w:r>
            <w:r>
              <w:rPr>
                <w:rFonts w:ascii="Cambria" w:hAnsi="Cambria"/>
                <w:b/>
                <w:bCs/>
              </w:rPr>
              <w:t xml:space="preserve">LNCOI0HL-12230038291</w:t>
            </w:r>
            <w:r>
              <w:rPr>
                <w:rFonts w:ascii="Cambria" w:hAnsi="Cambria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COIMBATORE- SINGANALLUR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SENTHILKUMAR .</w:t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</w:rPr>
              <w:t xml:space="preserve">UMA SENTHILKUMAR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/>
                <w:bCs/>
              </w:rPr>
              <w:t xml:space="preserve">RS. </w:t>
            </w:r>
            <w:r>
              <w:rPr>
                <w:rFonts w:ascii="Cambria" w:hAnsi="Cambria"/>
                <w:bCs/>
              </w:rPr>
              <w:t xml:space="preserve">13,85,460</w:t>
            </w:r>
            <w:r>
              <w:rPr>
                <w:rFonts w:ascii="Cambria" w:hAnsi="Cambria"/>
                <w:bCs/>
              </w:rPr>
              <w:t xml:space="preserve">/- (</w:t>
            </w:r>
            <w:r>
              <w:rPr>
                <w:rFonts w:ascii="Cambria" w:hAnsi="Cambria"/>
                <w:bCs/>
              </w:rPr>
              <w:t xml:space="preserve">RUPEES THIRTEEN LAKH EIGHTYFIVE THOUSAND FOUR HUNDRED SIXTY ONLY</w:t>
            </w:r>
            <w:r>
              <w:rPr>
                <w:rFonts w:ascii="Cambria" w:hAnsi="Cambria"/>
                <w:bCs/>
              </w:rPr>
              <w:t xml:space="preserve">)</w:t>
            </w:r>
            <w:r>
              <w:rPr>
                <w:rFonts w:ascii="Cambria" w:hAnsi="Cambria" w:eastAsia="Comic Sans MS"/>
              </w:rPr>
              <w:t xml:space="preserve"> AS ON </w:t>
            </w:r>
            <w:r>
              <w:rPr>
                <w:rFonts w:ascii="Cambria" w:hAnsi="Cambria" w:eastAsia="Comic Sans MS"/>
              </w:rPr>
              <w:t xml:space="preserve">05</w:t>
            </w:r>
            <w:r>
              <w:rPr>
                <w:rFonts w:ascii="Cambria" w:hAnsi="Cambria" w:eastAsia="Comic Sans MS"/>
              </w:rPr>
              <w:t xml:space="preserve">-</w:t>
            </w:r>
            <w:r>
              <w:rPr>
                <w:rFonts w:ascii="Cambria" w:hAnsi="Cambria" w:eastAsia="Comic Sans MS"/>
              </w:rPr>
              <w:t xml:space="preserve">Sep</w:t>
            </w:r>
            <w:r>
              <w:rPr>
                <w:rFonts w:ascii="Cambria" w:hAnsi="Cambria" w:eastAsia="Comic Sans MS"/>
              </w:rPr>
              <w:t xml:space="preserve">-202</w:t>
            </w:r>
            <w:r>
              <w:rPr>
                <w:rFonts w:ascii="Cambria" w:hAnsi="Cambria" w:eastAsia="Comic Sans MS"/>
              </w:rPr>
              <w:t xml:space="preserve">5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60,00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7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omic Sans MS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THAT PIECE AND PARCEL OF THE PROPERTY BEARING </w:t>
            </w:r>
            <w:r>
              <w:rPr>
                <w:rFonts w:ascii="Cambria" w:hAnsi="Cambria"/>
                <w:bCs/>
              </w:rPr>
              <w:t xml:space="preserve">TIRUPUR REGISTRATION DISTRICT, DHARAPURAM SUB-REGISTRATION DISTRICT, DHARAPURAM TALUK, JOTHIYAMPATTI VILLAGE, PATTA NO.69, RESURVEY NO.56/3A1 AN EXTENT OF 1.26 (OLD S.F.NO.89/1), S.F NO.90 AND RESURVEY NO.56/5A AN EXTENT OF 1.05 ACRES TOTALLY AN EXTENT OF </w:t>
            </w:r>
            <w:r>
              <w:rPr>
                <w:rFonts w:ascii="Cambria" w:hAnsi="Cambria"/>
                <w:bCs/>
              </w:rPr>
              <w:t xml:space="preserve">2.31 ACRES WAS FORMED A LAYOUTS NAMED AS NEW CHERAN PARK IN THIS PLOT NO.11 WITH AN EXTENT OF 1302 SQ.FT TOGETHER WITH PROPOSED BUILDING CONSTRUCTION THEREON THE FOLLOWING BOUNDARIES ARE EAST- 26 FEET NORTH-SOUTH LAYOUT ROAD, WEST- </w:t>
            </w:r>
            <w:r>
              <w:rPr>
                <w:rFonts w:ascii="Cambria" w:hAnsi="Cambria"/>
                <w:bCs/>
              </w:rPr>
              <w:tab/>
              <w:t xml:space="preserve">LANDS IN RESURVEY NO'S 56/1 &amp; 56/4, NORTH- PLOT NO.12, SOUTH-PLOT NO.10  MEASUREMENTS NORTH-SOUTH ON THE BOTH SIDE-23-1/4 FEET, EAST-WEST ON THE BOTH SIDE-56 FEET</w:t>
            </w:r>
            <w:bookmarkEnd w:id="8"/>
            <w:r/>
            <w:r>
              <w:rPr>
                <w:rFonts w:eastAsia="Comic Sans MS"/>
              </w:rPr>
            </w:r>
          </w:p>
        </w:tc>
      </w:tr>
    </w:tbl>
    <w:p>
      <w:p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Terms and Conditions of E- Auction: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www.niwashfc.com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11" w:tooltip="https://www.niwashfc.com/Auction-Notices" w:history="1">
        <w:r>
          <w:rPr>
            <w:rStyle w:val="672"/>
            <w:rFonts w:ascii="Bookman Old Style" w:hAnsi="Bookman Old Style" w:cs="Times New Roman"/>
            <w:sz w:val="20"/>
            <w:szCs w:val="20"/>
            <w:shd w:val="clear" w:color="auto" w:fill="ffffff"/>
          </w:rPr>
          <w:t xml:space="preserve">https://www.niwashfc.com/Auction-Notices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Credresolution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pvt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9137100020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9819167197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2" w:tooltip="mailto:balram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3" w:tooltip="mailto:amit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Emmanuel Sam – 9894856055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</w:p>
    <w:p>
      <w:pPr>
        <w:pBdr/>
        <w:spacing w:after="119" w:line="233" w:lineRule="auto"/>
        <w:ind w:right="12" w:left="45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*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ote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(s)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shall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amil Nadu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Niwas Housing Finance Limited.</w:t>
      </w:r>
      <w:bookmarkEnd w:id="0"/>
      <w:r/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5" w:right="1440" w:bottom="851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Cambria">
    <w:panose1 w:val="02040503050406030204"/>
  </w:font>
  <w:font w:name="Franklin Gothic"/>
  <w:font w:name="Bookman Old Style">
    <w:panose1 w:val="0206060305060502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CFB0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776B09FA"/>
    <w:lvl w:ilvl="0">
      <w:isLgl w:val="false"/>
      <w:lvlJc w:val="left"/>
      <w:lvlText w:val="%1."/>
      <w:numFmt w:val="decimal"/>
      <w:pPr>
        <w:pBdr/>
        <w:spacing/>
        <w:ind w:hanging="360" w:left="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>
    <w:name w:val="Hyperlink"/>
    <w:basedOn w:val="669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table" w:styleId="673">
    <w:name w:val="Table Grid"/>
    <w:basedOn w:val="670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Table Grid"/>
    <w:qFormat/>
    <w:pPr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val="en-GB" w:eastAsia="en-GB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8"/>
    <w:uiPriority w:val="34"/>
    <w:qFormat/>
    <w:pPr>
      <w:pBdr/>
      <w:spacing w:after="200" w:line="276" w:lineRule="auto"/>
      <w:ind w:left="720"/>
      <w:contextualSpacing w:val="true"/>
    </w:pPr>
    <w:rPr>
      <w:lang w:val="en-US"/>
    </w:rPr>
  </w:style>
  <w:style w:type="character" w:styleId="676">
    <w:name w:val="Unresolved Mention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onnect@niwashfc.com" TargetMode="External"/><Relationship Id="rId11" Type="http://schemas.openxmlformats.org/officeDocument/2006/relationships/hyperlink" Target="https://www.niwashfc.com/Auction-Notices" TargetMode="External"/><Relationship Id="rId12" Type="http://schemas.openxmlformats.org/officeDocument/2006/relationships/hyperlink" Target="mailto:balram@credsolv.com" TargetMode="External"/><Relationship Id="rId13" Type="http://schemas.openxmlformats.org/officeDocument/2006/relationships/hyperlink" Target="mailto:amit@credsol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Anonymous</cp:lastModifiedBy>
  <cp:revision>4</cp:revision>
  <dcterms:created xsi:type="dcterms:W3CDTF">2026-01-16T05:28:00Z</dcterms:created>
  <dcterms:modified xsi:type="dcterms:W3CDTF">2026-01-31T08:34:45Z</dcterms:modified>
</cp:coreProperties>
</file>